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68" w:rsidRDefault="005B6068">
      <w:pPr>
        <w:widowControl w:val="0"/>
        <w:suppressAutoHyphens/>
        <w:autoSpaceDE w:val="0"/>
        <w:autoSpaceDN w:val="0"/>
        <w:adjustRightInd w:val="0"/>
        <w:spacing w:after="200" w:line="276" w:lineRule="auto"/>
        <w:rPr>
          <w:rFonts w:ascii="Times New Roman" w:hAnsi="Times New Roman"/>
        </w:rPr>
      </w:pPr>
      <w:bookmarkStart w:id="0" w:name="_GoBack"/>
      <w:bookmarkEnd w:id="0"/>
      <w:r>
        <w:rPr>
          <w:rFonts w:ascii="Times New Roman" w:hAnsi="Times New Roman"/>
          <w:b/>
          <w:bCs/>
        </w:rPr>
        <w:t xml:space="preserve">Ministerul Muncii, </w:t>
      </w:r>
      <w:r>
        <w:rPr>
          <w:rFonts w:ascii="Times New Roman" w:hAnsi="Times New Roman"/>
          <w:b/>
          <w:bCs/>
        </w:rPr>
        <w:tab/>
      </w:r>
      <w:r>
        <w:rPr>
          <w:rFonts w:ascii="Times New Roman" w:hAnsi="Times New Roman"/>
          <w:b/>
          <w:bCs/>
        </w:rPr>
        <w:tab/>
      </w:r>
      <w:r>
        <w:rPr>
          <w:rFonts w:ascii="Times New Roman" w:hAnsi="Times New Roman"/>
          <w:b/>
          <w:bCs/>
        </w:rPr>
        <w:tab/>
        <w:t>Ministerul Sănătății                             Ministerul Educației</w:t>
      </w:r>
      <w:r>
        <w:rPr>
          <w:rFonts w:ascii="Times New Roman" w:hAnsi="Times New Roman"/>
        </w:rPr>
        <w:t xml:space="preserve">                         </w:t>
      </w:r>
    </w:p>
    <w:p w:rsidR="005B6068" w:rsidRPr="00D70935" w:rsidRDefault="005B6068">
      <w:pPr>
        <w:widowControl w:val="0"/>
        <w:suppressAutoHyphens/>
        <w:autoSpaceDE w:val="0"/>
        <w:autoSpaceDN w:val="0"/>
        <w:adjustRightInd w:val="0"/>
        <w:spacing w:after="200" w:line="276" w:lineRule="auto"/>
        <w:rPr>
          <w:rFonts w:ascii="Times New Roman" w:hAnsi="Times New Roman"/>
          <w:b/>
          <w:bCs/>
          <w:lang w:val="fr-FR"/>
        </w:rPr>
      </w:pPr>
      <w:r w:rsidRPr="00D70935">
        <w:rPr>
          <w:rFonts w:ascii="Times New Roman" w:hAnsi="Times New Roman"/>
          <w:b/>
          <w:bCs/>
          <w:lang w:val="fr-FR"/>
        </w:rPr>
        <w:t>Familiei, Protecției Sociale și</w:t>
      </w:r>
      <w:r w:rsidRPr="00D70935">
        <w:rPr>
          <w:rFonts w:ascii="Times New Roman" w:hAnsi="Times New Roman"/>
          <w:b/>
          <w:bCs/>
          <w:lang w:val="fr-FR"/>
        </w:rPr>
        <w:tab/>
      </w:r>
      <w:r w:rsidRPr="00D70935">
        <w:rPr>
          <w:rFonts w:ascii="Times New Roman" w:hAnsi="Times New Roman"/>
          <w:b/>
          <w:bCs/>
          <w:lang w:val="fr-FR"/>
        </w:rPr>
        <w:tab/>
      </w:r>
      <w:r w:rsidRPr="00D70935">
        <w:rPr>
          <w:rFonts w:ascii="Times New Roman" w:hAnsi="Times New Roman"/>
          <w:b/>
          <w:bCs/>
          <w:lang w:val="fr-FR"/>
        </w:rPr>
        <w:tab/>
      </w:r>
      <w:r w:rsidRPr="00D70935">
        <w:rPr>
          <w:rFonts w:ascii="Times New Roman" w:hAnsi="Times New Roman"/>
          <w:b/>
          <w:bCs/>
          <w:lang w:val="fr-FR"/>
        </w:rPr>
        <w:tab/>
      </w:r>
      <w:r w:rsidRPr="00D70935">
        <w:rPr>
          <w:rFonts w:ascii="Times New Roman" w:hAnsi="Times New Roman"/>
          <w:b/>
          <w:bCs/>
          <w:lang w:val="fr-FR"/>
        </w:rPr>
        <w:tab/>
      </w:r>
      <w:r w:rsidRPr="00D70935">
        <w:rPr>
          <w:rFonts w:ascii="Times New Roman" w:hAnsi="Times New Roman"/>
          <w:b/>
          <w:bCs/>
          <w:lang w:val="fr-FR"/>
        </w:rPr>
        <w:tab/>
        <w:t xml:space="preserve">                Naționale și </w:t>
      </w:r>
    </w:p>
    <w:p w:rsidR="005B6068" w:rsidRDefault="005B6068">
      <w:pPr>
        <w:widowControl w:val="0"/>
        <w:suppressAutoHyphens/>
        <w:autoSpaceDE w:val="0"/>
        <w:autoSpaceDN w:val="0"/>
        <w:adjustRightInd w:val="0"/>
        <w:spacing w:after="200" w:line="276" w:lineRule="auto"/>
        <w:rPr>
          <w:rFonts w:ascii="Times New Roman" w:hAnsi="Times New Roman"/>
        </w:rPr>
      </w:pPr>
      <w:r>
        <w:rPr>
          <w:rFonts w:ascii="Times New Roman" w:hAnsi="Times New Roman"/>
          <w:b/>
          <w:bCs/>
        </w:rPr>
        <w:t>Persoanelor Vârstnice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Cercetării Științifice</w:t>
      </w:r>
      <w:r>
        <w:rPr>
          <w:rFonts w:ascii="Times New Roman" w:hAnsi="Times New Roman"/>
        </w:rPr>
        <w:t xml:space="preserve">                            </w:t>
      </w:r>
    </w:p>
    <w:p w:rsidR="005B6068" w:rsidRDefault="005B6068">
      <w:pPr>
        <w:widowControl w:val="0"/>
        <w:autoSpaceDE w:val="0"/>
        <w:autoSpaceDN w:val="0"/>
        <w:adjustRightInd w:val="0"/>
        <w:spacing w:after="0" w:line="276" w:lineRule="auto"/>
        <w:rPr>
          <w:rFonts w:ascii="Times New Roman" w:hAnsi="Times New Roman"/>
          <w:b/>
          <w:bCs/>
          <w:sz w:val="24"/>
          <w:szCs w:val="24"/>
        </w:rPr>
      </w:pPr>
      <w:r>
        <w:rPr>
          <w:rFonts w:ascii="Times New Roman" w:hAnsi="Times New Roman"/>
          <w:b/>
          <w:bCs/>
          <w:sz w:val="24"/>
          <w:szCs w:val="24"/>
        </w:rPr>
        <w:t xml:space="preserve">Nr.1985/4.10.2016                  </w:t>
      </w:r>
      <w:r>
        <w:rPr>
          <w:rFonts w:ascii="Times New Roman" w:hAnsi="Times New Roman"/>
          <w:b/>
          <w:bCs/>
          <w:sz w:val="24"/>
          <w:szCs w:val="24"/>
        </w:rPr>
        <w:tab/>
        <w:t>Nr.1305/17.11.2016                        Nr.5805/23.11.2016</w:t>
      </w:r>
    </w:p>
    <w:p w:rsidR="005B6068" w:rsidRDefault="005B6068">
      <w:pPr>
        <w:widowControl w:val="0"/>
        <w:autoSpaceDE w:val="0"/>
        <w:autoSpaceDN w:val="0"/>
        <w:adjustRightInd w:val="0"/>
        <w:spacing w:after="0" w:line="276" w:lineRule="auto"/>
        <w:rPr>
          <w:rFonts w:ascii="Times New Roman" w:hAnsi="Times New Roman"/>
          <w:b/>
          <w:bCs/>
          <w:sz w:val="24"/>
          <w:szCs w:val="24"/>
        </w:rPr>
      </w:pPr>
      <w:r>
        <w:rPr>
          <w:rFonts w:ascii="Times New Roman" w:hAnsi="Times New Roman"/>
          <w:b/>
          <w:bCs/>
          <w:sz w:val="24"/>
          <w:szCs w:val="24"/>
        </w:rPr>
        <w:t xml:space="preserve">Publicat în MO </w:t>
      </w:r>
    </w:p>
    <w:p w:rsidR="005B6068" w:rsidRDefault="005B6068">
      <w:pPr>
        <w:widowControl w:val="0"/>
        <w:autoSpaceDE w:val="0"/>
        <w:autoSpaceDN w:val="0"/>
        <w:adjustRightInd w:val="0"/>
        <w:spacing w:after="0" w:line="276" w:lineRule="auto"/>
        <w:rPr>
          <w:rFonts w:ascii="Times New Roman" w:hAnsi="Times New Roman"/>
          <w:b/>
          <w:bCs/>
          <w:sz w:val="24"/>
          <w:szCs w:val="24"/>
        </w:rPr>
      </w:pPr>
    </w:p>
    <w:p w:rsidR="005B6068" w:rsidRDefault="005B6068">
      <w:pPr>
        <w:widowControl w:val="0"/>
        <w:suppressAutoHyphens/>
        <w:autoSpaceDE w:val="0"/>
        <w:autoSpaceDN w:val="0"/>
        <w:adjustRightInd w:val="0"/>
        <w:spacing w:after="0" w:line="240" w:lineRule="auto"/>
        <w:jc w:val="center"/>
        <w:rPr>
          <w:rFonts w:ascii="Times New Roman" w:hAnsi="Times New Roman"/>
          <w:b/>
          <w:bCs/>
          <w:sz w:val="24"/>
          <w:szCs w:val="24"/>
        </w:rPr>
      </w:pPr>
    </w:p>
    <w:p w:rsidR="005B6068" w:rsidRDefault="005B6068">
      <w:pPr>
        <w:widowControl w:val="0"/>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ORDIN   </w:t>
      </w:r>
    </w:p>
    <w:p w:rsidR="005B6068" w:rsidRDefault="005B6068">
      <w:pPr>
        <w:widowControl w:val="0"/>
        <w:suppressAutoHyphens/>
        <w:autoSpaceDE w:val="0"/>
        <w:autoSpaceDN w:val="0"/>
        <w:adjustRightInd w:val="0"/>
        <w:spacing w:after="0" w:line="240" w:lineRule="auto"/>
        <w:jc w:val="center"/>
        <w:rPr>
          <w:rFonts w:ascii="Times New Roman" w:hAnsi="Times New Roman"/>
          <w:b/>
          <w:bCs/>
          <w:sz w:val="24"/>
          <w:szCs w:val="24"/>
        </w:rPr>
      </w:pPr>
    </w:p>
    <w:p w:rsidR="005B6068" w:rsidRDefault="005B6068">
      <w:pPr>
        <w:widowControl w:val="0"/>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Având în vedere: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Legea nr. 18/1990 pentru ratificarea Convenției cu privire la drepturile copilului, republicată, cu modificările ulterioare;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Legea nr. 221/2010 pentru ratificarea Convenției privind drepturile persoanelor cu dizabilități, adoptată la New York de Adunarea Generală a Organizației Națiunilor Unite la 13 decembrie 2006, deschisă spre semnare la 30 martie 2007 și semnată de România la 26 septembrie 2007, cu modificările ulterioare;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Legea nr. 272/2004 privind protecția și promovarea drepturilor copilului, republicată, cu modificările și completările ulterioare;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Legea nr. 95/2006 privind reforma în domeniul sănătății, republicată,</w:t>
      </w:r>
      <w:r>
        <w:rPr>
          <w:rFonts w:ascii="Times New Roman" w:hAnsi="Times New Roman"/>
          <w:b/>
          <w:bCs/>
          <w:sz w:val="24"/>
          <w:szCs w:val="24"/>
        </w:rPr>
        <w:t xml:space="preserve"> </w:t>
      </w:r>
      <w:r>
        <w:rPr>
          <w:rFonts w:ascii="Times New Roman" w:hAnsi="Times New Roman"/>
          <w:sz w:val="24"/>
          <w:szCs w:val="24"/>
        </w:rPr>
        <w:t>cu modificările și completările ulterioare;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Legea educației naționale nr. 1/2011, cu modificările și completările ulterioare;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Clasificarea Internațională a Funcționării, Dizabilității și Sănătății, versiunea pentru copii și tineri, denumită în continuare CIF-CT, adoptată de Organizația Mondială a Sănătății în anul 2007 și validată de România în anul 2012, de către Ministerul Sănătății, Ministerul Muncii, Familiei, Protecției Sociale și Persoanelor Vârstnice și Ministerul Educației, Cercetării, Tineretului și Sportului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În temeiul:</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art.18 alin. (3) din Hotărârea Guvernului nr. 344/2014 privind organizarea și funcționarea Ministerului Muncii, Familiei, Protecției Sociale și Persoanelor Vârstnice, precum și pentru modificarea unor acte normative, cu modificările și completările ulterioare;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art. 7 alin. (4) din Hotărârea Guvernului nr. 144/2010 privind organizarea și funcționarea Ministerului Sănătății, cu modificările și completările ulterioare;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art. 13 alin. (3) din Hotărârea Guvernului nr. 44/2016 privind organizarea și funcționarea </w:t>
      </w:r>
      <w:r>
        <w:rPr>
          <w:rFonts w:ascii="Times New Roman" w:hAnsi="Times New Roman"/>
          <w:sz w:val="24"/>
          <w:szCs w:val="24"/>
        </w:rPr>
        <w:lastRenderedPageBreak/>
        <w:t>Ministerului Educației Naționale și Cercetării Științifice, cu modificările și completările ulterioare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p>
    <w:p w:rsidR="005B6068" w:rsidRDefault="005B6068">
      <w:pPr>
        <w:widowControl w:val="0"/>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 xml:space="preserve">ministrul muncii, familiei, protecției sociale și persoanelor vârstnice, ministrul sănătății și ministrul educației naționale și cercetării științifice, emit următorul </w:t>
      </w:r>
      <w:r>
        <w:rPr>
          <w:rFonts w:ascii="Times New Roman" w:hAnsi="Times New Roman"/>
          <w:b/>
          <w:bCs/>
          <w:sz w:val="24"/>
          <w:szCs w:val="24"/>
        </w:rPr>
        <w:t>ordin:</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rPr>
      </w:pPr>
    </w:p>
    <w:p w:rsidR="005B6068" w:rsidRDefault="005B6068">
      <w:pPr>
        <w:widowControl w:val="0"/>
        <w:shd w:val="clear" w:color="auto" w:fill="FFFFFF"/>
        <w:suppressAutoHyphens/>
        <w:autoSpaceDE w:val="0"/>
        <w:autoSpaceDN w:val="0"/>
        <w:adjustRightInd w:val="0"/>
        <w:spacing w:after="0" w:line="240" w:lineRule="auto"/>
        <w:jc w:val="both"/>
        <w:rPr>
          <w:rFonts w:ascii="Times New Roman" w:hAnsi="Times New Roman"/>
          <w:b/>
          <w:bCs/>
          <w:sz w:val="24"/>
          <w:szCs w:val="24"/>
        </w:rPr>
      </w:pP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Art. 64 (1) Fiecare unitate de învățământ în care se află copii cu dizabilități și/sau CES include în regulamentul de organizare și funcționare proceduri privind aprobarea prezenței facilitatorilor în unitatea de învățământ, precum și modul de organizare a activității acestora, acestea fiind prevăzute în Regulamentul de Organizare și Funcționare a Unităților de Învățământ Preuniversitar.</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 Facilitatorul menționat la art. 63 alin. (2) lit. d) poate fi unul dintre părinți, asistentul personal pentru copiii cu grad de handicap grav, o persoană numită de părinți față de care copilul are dezvoltată o relație de atașament sau un specialist recomandat de părinți/reprezentant legal.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 Numirea, de către părinți/ reprezentant legal, a unui facilitator se face în urma includerii acestuia în planul de abilitare-reabilitare, respectiv planul de servicii psihoeducaționale. Includerea facilitatorului în plan se face fie la solicitarea părinților/reprezentantului legal, fie la recomandarea unui profesionist, cu acordul părinților/reprezentantului legal.</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(4) Pentru copiii cu grad de handicap grav cu asistent personal, părinții/reprezentantul legal asigură obligatoriu facilitator.</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(5) Un facilitator poate avea grijă de mai mulți copii cu dizabilități și/sau CES în aceeași clasă.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(6) Părinții/ reprezentantul legal poate numi facilitatori provenind din cadrul unor organizații neguvernamentale, universități, alte instituții, cu care unitatea de învățământ încheie acorduri în acest sens.</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(7) Pentru copiii  cu dizabilități și/sau CES care necesită tratament pe parcursul programului școlar, dacă părinții/reprezentantul legal nu poate asigura facilitator, se includ prevederi pentru asigurarea tratamentului în contractul cu unitatea de învățământ.</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(8) Atribuțiile facilitatorului sunt cel puțin următoarele: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 Supravegherea și îngrijirea copilului în timpul orelor de curs, în pauze și în cursul activităților extrașcolare;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b) Facilitarea relației copilului cu colegii, în timpul orelor de curs și în pauze;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 Facilitarea relației copilului cu cadrul didactic, în timpul orelor de curs;</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 Sprijin la efectuarea exercițiilor predate, în timpul orelor de curs;</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e) Colaborarea cu cadrul didactic de la clasă, cu profesorul itinerant și de sprijin și cu alte cadre didactice și profesioniști din școală;</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f) Facilitarea relației cu colegii și profesorii în cursul activităților extrașcolare;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g) Colaborarea cu părinții/reprezentanții legali.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(9) Prezența facilitatorilor la clasă nu poate fi condiționată de gradul de handicap.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Art. 65 (1) Măsurile de sprijin pentru pregătirea și adaptarea copilului în diferitele etape de tranziție, între diferite medii și etape ale dezvoltării individuale, se includ în planul de abilitare-reabilitare/planul de servicii individualizat în funcție de tipul tranziției.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(2) Măsurile de sprijin pentru intrarea copilului într-o unitate de educație timpurie antepreșcolară sau preșcolară, tranziția dintr-o unitate antepreșcolară într-o unitate preșcolară, tranziția de la grădiniță la școală sau intrarea copilului direct în învățământul obligatoriu pot fi: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 pregătirea copilului prin informare adecvată vârstei și tipului dizabilității de către familie și cadrele didactice;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b) vizitarea unității înainte de înscriere de către copil și părinte;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 folosirea unui program de adaptare în primele două săptămâni de la înscriere/admitere;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 prezența facilitatorului.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 Măsurile de sprijin pentru tranziția de la pubertate la adolescență pot fi: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 pregătirea copilului prin informare adecvată vârstei, gradului de maturitate și tipului dizabilității de către familie și cadrele didactice;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 educație pentru sănătate sub forma disciplinei opționale sau oferită de alți furnizori de servicii educaționale, de sănătate sau sociale;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 consiliere din partea consilierului școlar sau din partea altor furnizori de servicii educaționale, de sănătate sau sociale;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 dezvoltarea abilităților de viață independentă în cadrul unor servicii sau cursuri.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(4) Măsurile de sprijin pentru tranziția de la gimnaziu la liceu sau școală profesională pot fi cele menționate la alin. (3), la care se adaugă orientarea școlară și profesională.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(5) Măsurile de sprijin pentru integrarea socio-profesională pot fi cele menționate la alin. (4), la care se adaugă:</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 evaluare și consiliere vocațională;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 orientare profesională/în carieră;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 sprijin și consiliere pentru găsirea unui loc de muncă, angajare și adaptare la cerințele postului, inclusiv mediere pe piața muncii.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(6) Măsurile de sprijin pentru tranziția la viața de adult pot fi cele menționate la alin. (4), la care se adaugă măsurile care vizează tranziția la sistemul de protecție a persoanelor adulte cu dizabilități: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 pregătirea copilului/tânărului prin informare adecvată vârstei, gradului de maturitate și tipului dizabilității de către familie și managerul de caz, incluzând aspectele privind acordarea gradului de handicap pentru persoanele adulte cu dizabilități;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 sprijinul pentru părinți/reprezentant legal pentru pregătirea documentelor necesare acordării gradului de handicap pentru persoanele adulte cu dizabilități;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 medierea relației părinților/reprezentantului legal cu serviciul de evaluare complexă pentru persoanele adulte cu handicap, denumit în continuare SECPAH;</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 vizitarea centrului rezidențial sau al domiciliului asistentului personal profesionist de către tinerii care urmează să părăsească sistemul de protecție specială a copilului și să fie transferați în sistemul de protecție al persoanelor adulte cu dizabilități.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Art. 66 Atribuțiile managerilor de caz în etapa de planificare: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 elaborează proiectul planului de abilitare-reabilitare în baza raportului de evaluare complexă, în cel mai scurt timp de la încheierea evaluării și de comun acord cu SEC, părinții/reprezentantul legal și copilul, în raport cu vârsta, gradul său de maturitate și tipul dizabilității</w:t>
      </w:r>
      <w:r>
        <w:rPr>
          <w:rFonts w:ascii="Times New Roman" w:hAnsi="Times New Roman"/>
          <w:color w:val="000010"/>
          <w:sz w:val="24"/>
          <w:szCs w:val="24"/>
          <w:lang w:val="ro-RO"/>
        </w:rPr>
        <w:t xml:space="preserve"> realizând următoarele activități: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a1) identifică măsurile necesare și termenele de realizare în acord cu rezultatele evaluărilor;</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a2) identifică capacitatea și resursele de care dispune familia și comunitatea pentru a pune în practică planul;</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a3) se asigură că beneficiile, serviciile și intervențiile recomandate răspund nevoilor reale și priorităților copilului și ale familiei sale;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a4) se asigură că familia și copilul au acces efectiv la serviciile și intervențiile recomandate;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a5) identifică persoanele responsabile în furnizarea serviciilor și intervențiilor, trecând în plan </w:t>
      </w:r>
      <w:r>
        <w:rPr>
          <w:rFonts w:ascii="Times New Roman" w:hAnsi="Times New Roman"/>
          <w:sz w:val="24"/>
          <w:szCs w:val="24"/>
          <w:lang w:val="ro-RO"/>
        </w:rPr>
        <w:lastRenderedPageBreak/>
        <w:t>numele complet și datele de contact ale acestora, cu sprijinul SEC și al profesioniștilor care au evaluat copilul și au făcut recomandările respective; în cazul în care nu se identifică persoana responsabilă, se trece reprezentantul legal al furnizorului de servicii, urmând ca persoana responsabilă să fie comunicată ulterior, la prima reevaluare a planului;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a6) definitivează proiectul planului de alibitare-reabilitare cu consultarea SEC și, după caz, a profesioniștilor care au evaluat copilul, de preferință în cadrul unei întâlniri de lucru;</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a7) realizează demersurile necesare pentru corelarea și integrarea planului de abilitare-reabilitare cu celelalte planuri menționate la art. 57 alin. (2);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b) stabilesc prioritățile și ordinea acordării serviciilor din plan;</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 înregistrează dosarul copilului la secretariatul CPC, dosar care conține documentele menționate la art. 44 alin. (1), la care se adaugă fișa de activități și participare completată de SEC și raportul de evaluare complexă;</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 informează părinții/reprezentantul legal cu privire la data ședinței CPC;</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e) susțin cazul în CPC pe baza raportului de evaluare complexă, care conține recomandarea gradului de handicap și a duratei de valabilitate pentru certificatul de încadrare în grad de handicap;</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f) transmit persoanelor responsabile din plan procedurile necesare pentru monitorizarea planului.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Art. 67 Atribuțiile responsabilului de caz servicii psihoeducaționale în etapa de planificare: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 elaborează proiectul planului de servicii individualizat, în cel mai scurt timp de la încheierea evaluării și de comun acord cu SEOSP, părinții/reprezentantul legal și copilul, în raport cu vârsta, gradul său de maturitate și tipul dizabilității</w:t>
      </w:r>
      <w:r>
        <w:rPr>
          <w:rFonts w:ascii="Times New Roman" w:hAnsi="Times New Roman"/>
          <w:color w:val="000010"/>
          <w:sz w:val="24"/>
          <w:szCs w:val="24"/>
          <w:lang w:val="ro-RO"/>
        </w:rPr>
        <w:t xml:space="preserve"> realizând următoarele activități:</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a1) identifică serviciile și intervențiile necesare, precum și termenele de realizare în acord cu rezultatele evaluărilor;</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a2) identifică capacitatea și resursele de care dispune unitatea de învățământ, familia și comunitatea pentru a pune în practică planul;</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a3) se asigură că serviciile și intervențiile recomandate răspund nevoilor reale și priorităților copilului și ale familiei sale;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a4) se asigură că familia și copilul au acces efectiv la serviciile și intervențiile recomandate;</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a5) identifică persoanele responsabile în furnizarea serviciilor și intervențiilor, trecând în plan numele complet și datele de contact ale acestora; în cazul în care nu se identifică persoana responsabilă, se trece reprezentantul legal al furnizorului de servicii, urmând ca persoana responsabilă să fie comunicată ulterior, la prima reevaluare a planului;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a6) definitivează proiectul planului de servicii individualizat cu consultarea SEOSP, de preferință în cadrul unei întâlniri de lucru; </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b) stabilește prioritățile și ordinea acordării serviciilor din plan;</w:t>
      </w:r>
    </w:p>
    <w:p w:rsidR="005B6068" w:rsidRDefault="005B6068">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 transmite proiectul planului</w:t>
      </w:r>
      <w:r>
        <w:rPr>
          <w:rFonts w:ascii="Verdana" w:hAnsi="Verdana" w:cs="Verdana"/>
          <w:lang w:val="ro-RO"/>
        </w:rPr>
        <w:t xml:space="preserve"> </w:t>
      </w:r>
      <w:r>
        <w:rPr>
          <w:rFonts w:ascii="Times New Roman" w:hAnsi="Times New Roman"/>
          <w:sz w:val="24"/>
          <w:szCs w:val="24"/>
          <w:lang w:val="ro-RO"/>
        </w:rPr>
        <w:t xml:space="preserve">avizat de directorul unității de învățământ unde este încadrat direct la COSP, în cazul primei orientări sau la SEOSP pentru a fi inclus în dosarul care se înaintează COSP în cazul reorientării;  </w:t>
      </w:r>
    </w:p>
    <w:p w:rsidR="005B6068" w:rsidRDefault="005B6068">
      <w:pPr>
        <w:widowControl w:val="0"/>
        <w:suppressAutoHyphens/>
        <w:autoSpaceDE w:val="0"/>
        <w:autoSpaceDN w:val="0"/>
        <w:adjustRightInd w:val="0"/>
        <w:spacing w:after="0" w:line="240" w:lineRule="auto"/>
        <w:jc w:val="both"/>
        <w:rPr>
          <w:rFonts w:ascii="Times New Roman" w:hAnsi="Times New Roman"/>
          <w:lang w:val="ro-RO"/>
        </w:rPr>
      </w:pPr>
      <w:r>
        <w:rPr>
          <w:rFonts w:ascii="Times New Roman" w:hAnsi="Times New Roman"/>
          <w:sz w:val="24"/>
          <w:szCs w:val="24"/>
          <w:lang w:val="ro-RO"/>
        </w:rPr>
        <w:t>d) comunică proiectul planului avizat directorului unității de învățământ de masă unde este înscris copilul;</w:t>
      </w:r>
    </w:p>
    <w:p w:rsidR="005B6068" w:rsidRPr="00D70935" w:rsidRDefault="005B6068" w:rsidP="00D70935">
      <w:pPr>
        <w:widowControl w:val="0"/>
        <w:suppressAutoHyphen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e) transmite persoanelor responsabile din plan procedurile necesare</w:t>
      </w:r>
      <w:r w:rsidR="00D70935">
        <w:rPr>
          <w:rFonts w:ascii="Times New Roman" w:hAnsi="Times New Roman"/>
          <w:sz w:val="24"/>
          <w:szCs w:val="24"/>
          <w:lang w:val="ro-RO"/>
        </w:rPr>
        <w:t xml:space="preserve"> pentru monitorizarea planului.</w:t>
      </w:r>
    </w:p>
    <w:sectPr w:rsidR="005B6068" w:rsidRPr="00D709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35"/>
    <w:rsid w:val="002E250C"/>
    <w:rsid w:val="005B6068"/>
    <w:rsid w:val="00A53B9B"/>
    <w:rsid w:val="00D7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173D42-4A5E-45B6-847E-7FE7B43A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0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CENTRU600</dc:creator>
  <cp:keywords/>
  <dc:description/>
  <cp:lastModifiedBy>CENTRU600</cp:lastModifiedBy>
  <cp:revision>2</cp:revision>
  <cp:lastPrinted>2017-11-17T08:42:00Z</cp:lastPrinted>
  <dcterms:created xsi:type="dcterms:W3CDTF">2017-12-08T10:42:00Z</dcterms:created>
  <dcterms:modified xsi:type="dcterms:W3CDTF">2017-12-08T10:42:00Z</dcterms:modified>
</cp:coreProperties>
</file>